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2"/>
        <w:rPr>
          <w:rFonts w:ascii="Times New Roman"/>
        </w:rPr>
      </w:pPr>
      <w:r>
        <w:rPr>
          <w:rFonts w:ascii="Times New Roman"/>
        </w:rPr>
        <w:pict>
          <v:group style="width:448.65pt;height:126.55pt;mso-position-horizontal-relative:char;mso-position-vertical-relative:line" coordorigin="0,0" coordsize="8973,2531">
            <v:shape style="position:absolute;left:429;top:367;width:1095;height:1260" type="#_x0000_t75" stroked="false">
              <v:imagedata r:id="rId5" o:title=""/>
            </v:shape>
            <v:shapetype id="_x0000_t202" o:spt="202" coordsize="21600,21600" path="m,l,21600r21600,l21600,xe">
              <v:stroke joinstyle="miter"/>
              <v:path gradientshapeok="t" o:connecttype="rect"/>
            </v:shapetype>
            <v:shape style="position:absolute;left:7;top:7;width:8958;height:2517" type="#_x0000_t202" filled="false" stroked="true" strokeweight=".71997pt" strokecolor="#9fb8cd">
              <v:textbox inset="0,0,0,0">
                <w:txbxContent>
                  <w:p>
                    <w:pPr>
                      <w:tabs>
                        <w:tab w:pos="2423" w:val="left" w:leader="none"/>
                      </w:tabs>
                      <w:spacing w:before="367"/>
                      <w:ind w:left="2424" w:right="348" w:hanging="501"/>
                      <w:jc w:val="left"/>
                      <w:rPr>
                        <w:rFonts w:ascii="Times New Roman" w:hAnsi="Times New Roman"/>
                        <w:sz w:val="48"/>
                      </w:rPr>
                    </w:pPr>
                    <w:r>
                      <w:rPr>
                        <w:rFonts w:ascii="Wingdings 3" w:hAnsi="Wingdings 3"/>
                        <w:color w:val="9FB8CD"/>
                        <w:sz w:val="50"/>
                      </w:rPr>
                      <w:t></w:t>
                    </w:r>
                    <w:r>
                      <w:rPr>
                        <w:rFonts w:ascii="Times New Roman" w:hAnsi="Times New Roman"/>
                        <w:color w:val="9FB8CD"/>
                        <w:sz w:val="50"/>
                      </w:rPr>
                      <w:tab/>
                    </w:r>
                    <w:r>
                      <w:rPr>
                        <w:rFonts w:ascii="Times New Roman" w:hAnsi="Times New Roman"/>
                        <w:color w:val="525A7C"/>
                        <w:sz w:val="48"/>
                      </w:rPr>
                      <w:t>El </w:t>
                    </w:r>
                    <w:r>
                      <w:rPr>
                        <w:rFonts w:ascii="Times New Roman" w:hAnsi="Times New Roman"/>
                        <w:color w:val="525A7C"/>
                        <w:spacing w:val="-3"/>
                        <w:sz w:val="48"/>
                      </w:rPr>
                      <w:t>modo </w:t>
                    </w:r>
                    <w:r>
                      <w:rPr>
                        <w:rFonts w:ascii="Times New Roman" w:hAnsi="Times New Roman"/>
                        <w:color w:val="525A7C"/>
                        <w:sz w:val="48"/>
                      </w:rPr>
                      <w:t>de </w:t>
                    </w:r>
                    <w:r>
                      <w:rPr>
                        <w:rFonts w:ascii="Times New Roman" w:hAnsi="Times New Roman"/>
                        <w:color w:val="525A7C"/>
                        <w:spacing w:val="-3"/>
                        <w:sz w:val="48"/>
                      </w:rPr>
                      <w:t>observar </w:t>
                    </w:r>
                    <w:r>
                      <w:rPr>
                        <w:rFonts w:ascii="Times New Roman" w:hAnsi="Times New Roman"/>
                        <w:color w:val="525A7C"/>
                        <w:sz w:val="48"/>
                      </w:rPr>
                      <w:t>el </w:t>
                    </w:r>
                    <w:r>
                      <w:rPr>
                        <w:rFonts w:ascii="Times New Roman" w:hAnsi="Times New Roman"/>
                        <w:color w:val="525A7C"/>
                        <w:spacing w:val="-3"/>
                        <w:sz w:val="48"/>
                      </w:rPr>
                      <w:t>ayuno </w:t>
                    </w:r>
                    <w:r>
                      <w:rPr>
                        <w:rFonts w:ascii="Times New Roman" w:hAnsi="Times New Roman"/>
                        <w:color w:val="525A7C"/>
                        <w:sz w:val="48"/>
                      </w:rPr>
                      <w:t>y la</w:t>
                    </w:r>
                    <w:r>
                      <w:rPr>
                        <w:rFonts w:ascii="Times New Roman" w:hAnsi="Times New Roman"/>
                        <w:color w:val="525A7C"/>
                        <w:spacing w:val="-5"/>
                        <w:sz w:val="48"/>
                      </w:rPr>
                      <w:t> </w:t>
                    </w:r>
                    <w:r>
                      <w:rPr>
                        <w:rFonts w:ascii="Times New Roman" w:hAnsi="Times New Roman"/>
                        <w:color w:val="525A7C"/>
                        <w:sz w:val="48"/>
                      </w:rPr>
                      <w:t>abstinencia</w:t>
                    </w:r>
                  </w:p>
                  <w:p>
                    <w:pPr>
                      <w:spacing w:before="299"/>
                      <w:ind w:left="0" w:right="351" w:firstLine="0"/>
                      <w:jc w:val="right"/>
                      <w:rPr>
                        <w:rFonts w:ascii="Times New Roman"/>
                        <w:sz w:val="34"/>
                      </w:rPr>
                    </w:pPr>
                    <w:r>
                      <w:rPr>
                        <w:rFonts w:ascii="Times New Roman"/>
                        <w:color w:val="9FB8CD"/>
                        <w:w w:val="95"/>
                        <w:sz w:val="34"/>
                      </w:rPr>
                      <w:t>Nota</w:t>
                    </w:r>
                  </w:p>
                </w:txbxContent>
              </v:textbox>
              <v:stroke dashstyle="solid"/>
              <w10:wrap type="none"/>
            </v:shape>
          </v:group>
        </w:pict>
      </w:r>
      <w:r>
        <w:rPr>
          <w:rFonts w:ascii="Times New Roman"/>
        </w:rPr>
      </w:r>
    </w:p>
    <w:p>
      <w:pPr>
        <w:pStyle w:val="BodyText"/>
        <w:spacing w:before="7"/>
        <w:rPr>
          <w:rFonts w:ascii="Times New Roman"/>
          <w:sz w:val="11"/>
        </w:rPr>
      </w:pPr>
      <w:r>
        <w:rPr/>
        <w:pict>
          <v:shape style="position:absolute;margin-left:77.940002pt;margin-top:9.069955pt;width:448pt;height:26.3pt;mso-position-horizontal-relative:page;mso-position-vertical-relative:paragraph;z-index:-251656192;mso-wrap-distance-left:0;mso-wrap-distance-right:0" type="#_x0000_t202" filled="false" stroked="true" strokeweight=".71997pt" strokecolor="#aaaaaa">
            <v:textbox inset="0,0,0,0">
              <w:txbxContent>
                <w:p>
                  <w:pPr>
                    <w:spacing w:before="104"/>
                    <w:ind w:left="216" w:right="0" w:firstLine="0"/>
                    <w:jc w:val="left"/>
                    <w:rPr>
                      <w:rFonts w:ascii="Times New Roman" w:hAnsi="Times New Roman"/>
                      <w:sz w:val="26"/>
                    </w:rPr>
                  </w:pPr>
                  <w:r>
                    <w:rPr>
                      <w:rFonts w:ascii="Wingdings 3" w:hAnsi="Wingdings 3"/>
                      <w:color w:val="9FB8CD"/>
                      <w:sz w:val="26"/>
                    </w:rPr>
                    <w:t></w:t>
                  </w:r>
                  <w:r>
                    <w:rPr>
                      <w:rFonts w:ascii="Times New Roman" w:hAnsi="Times New Roman"/>
                      <w:color w:val="9FB8CD"/>
                      <w:sz w:val="26"/>
                    </w:rPr>
                    <w:t> </w:t>
                  </w:r>
                  <w:r>
                    <w:rPr>
                      <w:rFonts w:ascii="Times New Roman" w:hAnsi="Times New Roman"/>
                      <w:color w:val="AAAAAA"/>
                      <w:sz w:val="26"/>
                    </w:rPr>
                    <w:t>Secretaría General de la Conferencia Episcopal Española</w:t>
                  </w:r>
                </w:p>
              </w:txbxContent>
            </v:textbox>
            <v:stroke dashstyle="solid"/>
            <w10:wrap type="topAndBottom"/>
          </v:shape>
        </w:pict>
      </w:r>
    </w:p>
    <w:p>
      <w:pPr>
        <w:pStyle w:val="BodyText"/>
        <w:rPr>
          <w:rFonts w:ascii="Times New Roman"/>
        </w:rPr>
      </w:pPr>
    </w:p>
    <w:p>
      <w:pPr>
        <w:pStyle w:val="BodyText"/>
        <w:rPr>
          <w:rFonts w:ascii="Times New Roman"/>
          <w:sz w:val="29"/>
        </w:rPr>
      </w:pPr>
    </w:p>
    <w:p>
      <w:pPr>
        <w:pStyle w:val="BodyText"/>
        <w:spacing w:before="94"/>
        <w:ind w:left="158" w:right="151" w:firstLine="424"/>
        <w:jc w:val="both"/>
      </w:pPr>
      <w:r>
        <w:rPr/>
        <w:pict>
          <v:line style="position:absolute;mso-position-horizontal-relative:page;mso-position-vertical-relative:paragraph;z-index:251662336" from="69.480003pt,-192.37973pt" to="69.480003pt,-65.839700pt" stroked="true" strokeweight=".72pt" strokecolor="#9fb8cd">
            <v:stroke dashstyle="solid"/>
            <w10:wrap type="none"/>
          </v:line>
        </w:pict>
      </w:r>
      <w:r>
        <w:rPr/>
        <w:pict>
          <v:line style="position:absolute;mso-position-horizontal-relative:page;mso-position-vertical-relative:paragraph;z-index:251663360" from="69.480003pt,-56.659725pt" to="69.480003pt,-29.659695pt" stroked="true" strokeweight=".72pt" strokecolor="#aaaaaa">
            <v:stroke dashstyle="solid"/>
            <w10:wrap type="none"/>
          </v:line>
        </w:pict>
      </w:r>
      <w:r>
        <w:rPr>
          <w:color w:val="464646"/>
        </w:rPr>
        <w:t>En vísperas de la Cuaresma, para responder a las consultas que el año pasado y el actual han llegado al Secretariado del Episcopado acerca de lo determinado por la CEE respecto del «modo de observar el ayuno y la abstinencia», en virtud de las facultades que concede a las Conferencias la actual legislación eclesiástica, el Secretario de la Conferencia Episcopal informa que, en conformidad con lo establecido por el Decreto General de la Conferencia en su artículo 13,2, interpretado auténticamente por la última Asamblea Plenaria (11-16 de noviembre), deben tenerse en cuenta las siguientes normas:</w:t>
      </w:r>
    </w:p>
    <w:p>
      <w:pPr>
        <w:pStyle w:val="BodyText"/>
        <w:spacing w:before="11"/>
        <w:rPr>
          <w:sz w:val="19"/>
        </w:rPr>
      </w:pPr>
    </w:p>
    <w:p>
      <w:pPr>
        <w:pStyle w:val="ListParagraph"/>
        <w:numPr>
          <w:ilvl w:val="0"/>
          <w:numId w:val="1"/>
        </w:numPr>
        <w:tabs>
          <w:tab w:pos="519" w:val="left" w:leader="none"/>
        </w:tabs>
        <w:spacing w:line="240" w:lineRule="auto" w:before="0" w:after="0"/>
        <w:ind w:left="518" w:right="151" w:hanging="360"/>
        <w:jc w:val="both"/>
        <w:rPr>
          <w:sz w:val="20"/>
        </w:rPr>
      </w:pPr>
      <w:r>
        <w:rPr>
          <w:color w:val="464646"/>
          <w:sz w:val="20"/>
        </w:rPr>
        <w:t>En la Iglesia universal, son días y tiempos penitenciales todos los viernes del año y el tiempo de Cuaresma (c.</w:t>
      </w:r>
      <w:r>
        <w:rPr>
          <w:color w:val="464646"/>
          <w:spacing w:val="-2"/>
          <w:sz w:val="20"/>
        </w:rPr>
        <w:t> </w:t>
      </w:r>
      <w:r>
        <w:rPr>
          <w:color w:val="464646"/>
          <w:sz w:val="20"/>
        </w:rPr>
        <w:t>1250).</w:t>
      </w:r>
    </w:p>
    <w:p>
      <w:pPr>
        <w:pStyle w:val="BodyText"/>
      </w:pPr>
    </w:p>
    <w:p>
      <w:pPr>
        <w:pStyle w:val="ListParagraph"/>
        <w:numPr>
          <w:ilvl w:val="0"/>
          <w:numId w:val="1"/>
        </w:numPr>
        <w:tabs>
          <w:tab w:pos="519" w:val="left" w:leader="none"/>
        </w:tabs>
        <w:spacing w:line="240" w:lineRule="auto" w:before="0" w:after="0"/>
        <w:ind w:left="518" w:right="152" w:hanging="360"/>
        <w:jc w:val="both"/>
        <w:rPr>
          <w:sz w:val="20"/>
        </w:rPr>
      </w:pPr>
      <w:r>
        <w:rPr>
          <w:color w:val="464646"/>
          <w:sz w:val="20"/>
        </w:rPr>
        <w:t>Se retiene la práctica penitencial tradicional de los viernes del año, consistente en la abstinencia de carnes; pero puede ser sustituida, según la libre voluntad de los fieles, por cualquiera de las siguientes prácticas recomendadas por la Iglesia: lectura de la Sagrada Escritura, limosna (en la cuantía que cada uno estime en conciencia), otras obras de caridad (visita de enfermos o atribulados), obras de piedad (participación en la Santa Misa, rezo del rosario, etc.) y mortificaciones</w:t>
      </w:r>
      <w:r>
        <w:rPr>
          <w:color w:val="464646"/>
          <w:spacing w:val="-1"/>
          <w:sz w:val="20"/>
        </w:rPr>
        <w:t> </w:t>
      </w:r>
      <w:r>
        <w:rPr>
          <w:color w:val="464646"/>
          <w:sz w:val="20"/>
        </w:rPr>
        <w:t>corporales.</w:t>
      </w:r>
    </w:p>
    <w:p>
      <w:pPr>
        <w:pStyle w:val="BodyText"/>
      </w:pPr>
    </w:p>
    <w:p>
      <w:pPr>
        <w:pStyle w:val="ListParagraph"/>
        <w:numPr>
          <w:ilvl w:val="0"/>
          <w:numId w:val="1"/>
        </w:numPr>
        <w:tabs>
          <w:tab w:pos="519" w:val="left" w:leader="none"/>
        </w:tabs>
        <w:spacing w:line="240" w:lineRule="auto" w:before="0" w:after="0"/>
        <w:ind w:left="518" w:right="152" w:hanging="360"/>
        <w:jc w:val="both"/>
        <w:rPr>
          <w:sz w:val="20"/>
        </w:rPr>
      </w:pPr>
      <w:r>
        <w:rPr>
          <w:color w:val="464646"/>
          <w:sz w:val="20"/>
        </w:rPr>
        <w:t>Sin embargo, en los viernes de cuaresma debe guardarse la abstinencia de carnes, sin que pueda ser sustituida por ninguna otra práctica. El deber de la abstinencia de carnes dejará de obligar en los viernes que coincidan con una solemnidad y también si se ha obtenido la legítima dispensa.</w:t>
      </w:r>
    </w:p>
    <w:p>
      <w:pPr>
        <w:pStyle w:val="BodyText"/>
      </w:pPr>
    </w:p>
    <w:p>
      <w:pPr>
        <w:pStyle w:val="ListParagraph"/>
        <w:numPr>
          <w:ilvl w:val="0"/>
          <w:numId w:val="1"/>
        </w:numPr>
        <w:tabs>
          <w:tab w:pos="519" w:val="left" w:leader="none"/>
        </w:tabs>
        <w:spacing w:line="240" w:lineRule="auto" w:before="0" w:after="0"/>
        <w:ind w:left="518" w:right="151" w:hanging="360"/>
        <w:jc w:val="both"/>
        <w:rPr>
          <w:sz w:val="20"/>
        </w:rPr>
      </w:pPr>
      <w:r>
        <w:rPr>
          <w:color w:val="464646"/>
          <w:sz w:val="20"/>
        </w:rPr>
        <w:t>En cuanto al ayuno, que ha de guardarse el Miércoles de Ceniza y el Viernes Santo, consiste en no hacer sino una sola comida al día; pero no se prohíbe tomar algo de alimento a la mañana y a la</w:t>
      </w:r>
      <w:r>
        <w:rPr>
          <w:color w:val="464646"/>
          <w:spacing w:val="-4"/>
          <w:sz w:val="20"/>
        </w:rPr>
        <w:t> </w:t>
      </w:r>
      <w:r>
        <w:rPr>
          <w:color w:val="464646"/>
          <w:sz w:val="20"/>
        </w:rPr>
        <w:t>noche,</w:t>
      </w:r>
      <w:r>
        <w:rPr>
          <w:color w:val="464646"/>
          <w:spacing w:val="-4"/>
          <w:sz w:val="20"/>
        </w:rPr>
        <w:t> </w:t>
      </w:r>
      <w:r>
        <w:rPr>
          <w:color w:val="464646"/>
          <w:sz w:val="20"/>
        </w:rPr>
        <w:t>guardando</w:t>
      </w:r>
      <w:r>
        <w:rPr>
          <w:color w:val="464646"/>
          <w:spacing w:val="-4"/>
          <w:sz w:val="20"/>
        </w:rPr>
        <w:t> </w:t>
      </w:r>
      <w:r>
        <w:rPr>
          <w:color w:val="464646"/>
          <w:sz w:val="20"/>
        </w:rPr>
        <w:t>las</w:t>
      </w:r>
      <w:r>
        <w:rPr>
          <w:color w:val="464646"/>
          <w:spacing w:val="-3"/>
          <w:sz w:val="20"/>
        </w:rPr>
        <w:t> </w:t>
      </w:r>
      <w:r>
        <w:rPr>
          <w:color w:val="464646"/>
          <w:sz w:val="20"/>
        </w:rPr>
        <w:t>legítimas</w:t>
      </w:r>
      <w:r>
        <w:rPr>
          <w:color w:val="464646"/>
          <w:spacing w:val="-3"/>
          <w:sz w:val="20"/>
        </w:rPr>
        <w:t> </w:t>
      </w:r>
      <w:r>
        <w:rPr>
          <w:color w:val="464646"/>
          <w:sz w:val="20"/>
        </w:rPr>
        <w:t>costumbres</w:t>
      </w:r>
      <w:r>
        <w:rPr>
          <w:color w:val="464646"/>
          <w:spacing w:val="-3"/>
          <w:sz w:val="20"/>
        </w:rPr>
        <w:t> </w:t>
      </w:r>
      <w:r>
        <w:rPr>
          <w:color w:val="464646"/>
          <w:sz w:val="20"/>
        </w:rPr>
        <w:t>respecto</w:t>
      </w:r>
      <w:r>
        <w:rPr>
          <w:color w:val="464646"/>
          <w:spacing w:val="-3"/>
          <w:sz w:val="20"/>
        </w:rPr>
        <w:t> </w:t>
      </w:r>
      <w:r>
        <w:rPr>
          <w:color w:val="464646"/>
          <w:sz w:val="20"/>
        </w:rPr>
        <w:t>a</w:t>
      </w:r>
      <w:r>
        <w:rPr>
          <w:color w:val="464646"/>
          <w:spacing w:val="-3"/>
          <w:sz w:val="20"/>
        </w:rPr>
        <w:t> </w:t>
      </w:r>
      <w:r>
        <w:rPr>
          <w:color w:val="464646"/>
          <w:sz w:val="20"/>
        </w:rPr>
        <w:t>la</w:t>
      </w:r>
      <w:r>
        <w:rPr>
          <w:color w:val="464646"/>
          <w:spacing w:val="-3"/>
          <w:sz w:val="20"/>
        </w:rPr>
        <w:t> </w:t>
      </w:r>
      <w:r>
        <w:rPr>
          <w:color w:val="464646"/>
          <w:sz w:val="20"/>
        </w:rPr>
        <w:t>cantidad</w:t>
      </w:r>
      <w:r>
        <w:rPr>
          <w:color w:val="464646"/>
          <w:spacing w:val="-4"/>
          <w:sz w:val="20"/>
        </w:rPr>
        <w:t> </w:t>
      </w:r>
      <w:r>
        <w:rPr>
          <w:color w:val="464646"/>
          <w:sz w:val="20"/>
        </w:rPr>
        <w:t>y</w:t>
      </w:r>
      <w:r>
        <w:rPr>
          <w:color w:val="464646"/>
          <w:spacing w:val="-4"/>
          <w:sz w:val="20"/>
        </w:rPr>
        <w:t> </w:t>
      </w:r>
      <w:r>
        <w:rPr>
          <w:color w:val="464646"/>
          <w:sz w:val="20"/>
        </w:rPr>
        <w:t>calidad</w:t>
      </w:r>
      <w:r>
        <w:rPr>
          <w:color w:val="464646"/>
          <w:spacing w:val="-4"/>
          <w:sz w:val="20"/>
        </w:rPr>
        <w:t> </w:t>
      </w:r>
      <w:r>
        <w:rPr>
          <w:color w:val="464646"/>
          <w:sz w:val="20"/>
        </w:rPr>
        <w:t>de</w:t>
      </w:r>
      <w:r>
        <w:rPr>
          <w:color w:val="464646"/>
          <w:spacing w:val="-4"/>
          <w:sz w:val="20"/>
        </w:rPr>
        <w:t> </w:t>
      </w:r>
      <w:r>
        <w:rPr>
          <w:color w:val="464646"/>
          <w:sz w:val="20"/>
        </w:rPr>
        <w:t>los</w:t>
      </w:r>
      <w:r>
        <w:rPr>
          <w:color w:val="464646"/>
          <w:spacing w:val="-4"/>
          <w:sz w:val="20"/>
        </w:rPr>
        <w:t> </w:t>
      </w:r>
      <w:r>
        <w:rPr>
          <w:color w:val="464646"/>
          <w:sz w:val="20"/>
        </w:rPr>
        <w:t>alimentos.</w:t>
      </w:r>
    </w:p>
    <w:p>
      <w:pPr>
        <w:pStyle w:val="BodyText"/>
        <w:rPr>
          <w:sz w:val="22"/>
        </w:rPr>
      </w:pPr>
    </w:p>
    <w:p>
      <w:pPr>
        <w:pStyle w:val="BodyText"/>
        <w:rPr>
          <w:sz w:val="22"/>
        </w:rPr>
      </w:pPr>
    </w:p>
    <w:p>
      <w:pPr>
        <w:pStyle w:val="BodyText"/>
        <w:spacing w:before="184"/>
        <w:ind w:left="158"/>
      </w:pPr>
      <w:r>
        <w:rPr>
          <w:color w:val="464646"/>
        </w:rPr>
        <w:t>6 de febrero de 1986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r>
        <w:rPr/>
        <w:drawing>
          <wp:anchor distT="0" distB="0" distL="0" distR="0" allowOverlap="1" layoutInCell="1" locked="0" behindDoc="0" simplePos="0" relativeHeight="3">
            <wp:simplePos x="0" y="0"/>
            <wp:positionH relativeFrom="page">
              <wp:posOffset>872489</wp:posOffset>
            </wp:positionH>
            <wp:positionV relativeFrom="paragraph">
              <wp:posOffset>166935</wp:posOffset>
            </wp:positionV>
            <wp:extent cx="5727715" cy="24003"/>
            <wp:effectExtent l="0" t="0" r="0" b="0"/>
            <wp:wrapTopAndBottom/>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5727715" cy="24003"/>
                    </a:xfrm>
                    <a:prstGeom prst="rect">
                      <a:avLst/>
                    </a:prstGeom>
                  </pic:spPr>
                </pic:pic>
              </a:graphicData>
            </a:graphic>
          </wp:anchor>
        </w:drawing>
      </w:r>
    </w:p>
    <w:p>
      <w:pPr>
        <w:tabs>
          <w:tab w:pos="3354" w:val="left" w:leader="none"/>
        </w:tabs>
        <w:spacing w:before="134"/>
        <w:ind w:left="158" w:right="0" w:firstLine="0"/>
        <w:jc w:val="left"/>
        <w:rPr>
          <w:sz w:val="16"/>
        </w:rPr>
      </w:pPr>
      <w:r>
        <w:rPr>
          <w:rFonts w:ascii="Wingdings 3" w:hAnsi="Wingdings 3"/>
          <w:color w:val="9FB8CD"/>
          <w:sz w:val="16"/>
        </w:rPr>
        <w:t></w:t>
      </w:r>
      <w:r>
        <w:rPr>
          <w:rFonts w:ascii="Times New Roman" w:hAnsi="Times New Roman"/>
          <w:color w:val="9FB8CD"/>
          <w:spacing w:val="2"/>
          <w:sz w:val="16"/>
        </w:rPr>
        <w:t> </w:t>
      </w:r>
      <w:r>
        <w:rPr>
          <w:color w:val="BCBCBC"/>
          <w:sz w:val="16"/>
        </w:rPr>
        <w:t>Página 1/1</w:t>
        <w:tab/>
        <w:t>Documentos de la Conferencia Episcopal Española</w:t>
      </w:r>
      <w:r>
        <w:rPr>
          <w:color w:val="BCBCBC"/>
          <w:spacing w:val="-9"/>
          <w:sz w:val="16"/>
        </w:rPr>
        <w:t> </w:t>
      </w:r>
      <w:r>
        <w:rPr>
          <w:color w:val="BCBCBC"/>
          <w:sz w:val="16"/>
        </w:rPr>
        <w:t>(www.conferenciaepiscopal.es)</w:t>
      </w:r>
    </w:p>
    <w:sectPr>
      <w:type w:val="continuous"/>
      <w:pgSz w:w="11910" w:h="16840"/>
      <w:pgMar w:top="142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3">
    <w:altName w:val="Wingdings 3"/>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18" w:hanging="361"/>
        <w:jc w:val="left"/>
      </w:pPr>
      <w:rPr>
        <w:rFonts w:hint="default" w:ascii="Arial" w:hAnsi="Arial" w:eastAsia="Arial" w:cs="Arial"/>
        <w:color w:val="464646"/>
        <w:spacing w:val="-1"/>
        <w:w w:val="100"/>
        <w:sz w:val="20"/>
        <w:szCs w:val="20"/>
        <w:lang w:val="es-ES" w:eastAsia="es-ES" w:bidi="es-ES"/>
      </w:rPr>
    </w:lvl>
    <w:lvl w:ilvl="1">
      <w:start w:val="0"/>
      <w:numFmt w:val="bullet"/>
      <w:lvlText w:val="•"/>
      <w:lvlJc w:val="left"/>
      <w:pPr>
        <w:ind w:left="1406" w:hanging="361"/>
      </w:pPr>
      <w:rPr>
        <w:rFonts w:hint="default"/>
        <w:lang w:val="es-ES" w:eastAsia="es-ES" w:bidi="es-ES"/>
      </w:rPr>
    </w:lvl>
    <w:lvl w:ilvl="2">
      <w:start w:val="0"/>
      <w:numFmt w:val="bullet"/>
      <w:lvlText w:val="•"/>
      <w:lvlJc w:val="left"/>
      <w:pPr>
        <w:ind w:left="2292" w:hanging="361"/>
      </w:pPr>
      <w:rPr>
        <w:rFonts w:hint="default"/>
        <w:lang w:val="es-ES" w:eastAsia="es-ES" w:bidi="es-ES"/>
      </w:rPr>
    </w:lvl>
    <w:lvl w:ilvl="3">
      <w:start w:val="0"/>
      <w:numFmt w:val="bullet"/>
      <w:lvlText w:val="•"/>
      <w:lvlJc w:val="left"/>
      <w:pPr>
        <w:ind w:left="3179" w:hanging="361"/>
      </w:pPr>
      <w:rPr>
        <w:rFonts w:hint="default"/>
        <w:lang w:val="es-ES" w:eastAsia="es-ES" w:bidi="es-ES"/>
      </w:rPr>
    </w:lvl>
    <w:lvl w:ilvl="4">
      <w:start w:val="0"/>
      <w:numFmt w:val="bullet"/>
      <w:lvlText w:val="•"/>
      <w:lvlJc w:val="left"/>
      <w:pPr>
        <w:ind w:left="4065" w:hanging="361"/>
      </w:pPr>
      <w:rPr>
        <w:rFonts w:hint="default"/>
        <w:lang w:val="es-ES" w:eastAsia="es-ES" w:bidi="es-ES"/>
      </w:rPr>
    </w:lvl>
    <w:lvl w:ilvl="5">
      <w:start w:val="0"/>
      <w:numFmt w:val="bullet"/>
      <w:lvlText w:val="•"/>
      <w:lvlJc w:val="left"/>
      <w:pPr>
        <w:ind w:left="4952" w:hanging="361"/>
      </w:pPr>
      <w:rPr>
        <w:rFonts w:hint="default"/>
        <w:lang w:val="es-ES" w:eastAsia="es-ES" w:bidi="es-ES"/>
      </w:rPr>
    </w:lvl>
    <w:lvl w:ilvl="6">
      <w:start w:val="0"/>
      <w:numFmt w:val="bullet"/>
      <w:lvlText w:val="•"/>
      <w:lvlJc w:val="left"/>
      <w:pPr>
        <w:ind w:left="5838" w:hanging="361"/>
      </w:pPr>
      <w:rPr>
        <w:rFonts w:hint="default"/>
        <w:lang w:val="es-ES" w:eastAsia="es-ES" w:bidi="es-ES"/>
      </w:rPr>
    </w:lvl>
    <w:lvl w:ilvl="7">
      <w:start w:val="0"/>
      <w:numFmt w:val="bullet"/>
      <w:lvlText w:val="•"/>
      <w:lvlJc w:val="left"/>
      <w:pPr>
        <w:ind w:left="6725" w:hanging="361"/>
      </w:pPr>
      <w:rPr>
        <w:rFonts w:hint="default"/>
        <w:lang w:val="es-ES" w:eastAsia="es-ES" w:bidi="es-ES"/>
      </w:rPr>
    </w:lvl>
    <w:lvl w:ilvl="8">
      <w:start w:val="0"/>
      <w:numFmt w:val="bullet"/>
      <w:lvlText w:val="•"/>
      <w:lvlJc w:val="left"/>
      <w:pPr>
        <w:ind w:left="7611" w:hanging="361"/>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ListParagraph" w:type="paragraph">
    <w:name w:val="List Paragraph"/>
    <w:basedOn w:val="Normal"/>
    <w:uiPriority w:val="1"/>
    <w:qFormat/>
    <w:pPr>
      <w:ind w:left="518" w:right="151" w:hanging="36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FranArellano</dc:creator>
  <dc:title>Microsoft Word - CDI 0151 El modo de observar el ayuno y la abstinencia.doc</dc:title>
  <dcterms:created xsi:type="dcterms:W3CDTF">2021-02-16T10:29:45Z</dcterms:created>
  <dcterms:modified xsi:type="dcterms:W3CDTF">2021-02-16T10:29:45Z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PScript5.dll Version 5.2.2</vt:lpwstr>
  </property>
  <property fmtid="{D5CDD505-2E9C-101B-9397-08002B2CF9AE}" pid="4" name="LastSaved">
    <vt:filetime>2021-02-16T00:00:00Z</vt:filetime>
  </property>
</Properties>
</file>